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</w:pPr>
      <w:r>
        <w:rPr>
          <w:rFonts w:hint="eastAsia" w:ascii="宋体" w:hAnsi="宋体" w:cs="宋体"/>
          <w:b/>
          <w:sz w:val="32"/>
          <w:szCs w:val="32"/>
        </w:rPr>
        <w:t>雅安市名山区东融梨花溪售楼部临时用房室内装饰工程采购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结果公示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3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3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14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367"/>
        <w:gridCol w:w="1992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富丰盛世建设有限公司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2972837.97元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279分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东方仁化集团有限公司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3101981.44元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243.99分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四川锦瑞名城建设工程有限公司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3086686.58元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232.56分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公示期1日，若公示期间无异议，采购人将发放成交通知书给第一名，并签订采购合同。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采购人：雅安市名山区东融建设投资有限公司</w:t>
      </w:r>
      <w:bookmarkStart w:id="0" w:name="_GoBack"/>
      <w:bookmarkEnd w:id="0"/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（盖章）</w:t>
      </w: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采购代理机构：四川中城工程项目管理有限公司（盖章）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2023年3月15日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ZWNkMTA2NjE4ZTJiNjg2YzhiNTYxMDJiOWQwOGEifQ=="/>
  </w:docVars>
  <w:rsids>
    <w:rsidRoot w:val="00000000"/>
    <w:rsid w:val="010D08F2"/>
    <w:rsid w:val="06A632AB"/>
    <w:rsid w:val="06B807E5"/>
    <w:rsid w:val="198B7B16"/>
    <w:rsid w:val="1E7E5392"/>
    <w:rsid w:val="24201750"/>
    <w:rsid w:val="249C557D"/>
    <w:rsid w:val="264E59E4"/>
    <w:rsid w:val="3B443E1A"/>
    <w:rsid w:val="3B66696C"/>
    <w:rsid w:val="3C9B2BCB"/>
    <w:rsid w:val="4AA541A9"/>
    <w:rsid w:val="4ADA637C"/>
    <w:rsid w:val="5DC06F7D"/>
    <w:rsid w:val="5DDC09E9"/>
    <w:rsid w:val="65024771"/>
    <w:rsid w:val="69E84FCC"/>
    <w:rsid w:val="6EAB32D9"/>
    <w:rsid w:val="7473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First Indent"/>
    <w:basedOn w:val="5"/>
    <w:next w:val="10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7"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273</Characters>
  <Lines>0</Lines>
  <Paragraphs>0</Paragraphs>
  <TotalTime>0</TotalTime>
  <ScaleCrop>false</ScaleCrop>
  <LinksUpToDate>false</LinksUpToDate>
  <CharactersWithSpaces>273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2023-03-14T23:33:53Z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