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69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50" w:afterAutospacing="0" w:line="270" w:lineRule="atLeast"/>
        <w:ind w:left="0" w:right="0"/>
        <w:jc w:val="center"/>
        <w:textAlignment w:val="baseline"/>
        <w:rPr>
          <w:b/>
          <w:bCs/>
          <w:color w:val="38394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40"/>
          <w:szCs w:val="40"/>
          <w:shd w:val="clear" w:fill="FFFFFF"/>
          <w:vertAlign w:val="baseline"/>
        </w:rPr>
        <w:t>茶城建设工程公司OA系统建设项目</w:t>
      </w:r>
      <w:r>
        <w:rPr>
          <w:rFonts w:hint="eastAsia" w:eastAsia="宋体"/>
          <w:b/>
          <w:bCs/>
          <w:i w:val="0"/>
          <w:iCs w:val="0"/>
          <w:caps w:val="0"/>
          <w:color w:val="383940"/>
          <w:spacing w:val="0"/>
          <w:sz w:val="40"/>
          <w:szCs w:val="40"/>
          <w:bdr w:val="none" w:color="auto" w:sz="0" w:space="0"/>
          <w:shd w:val="clear" w:fill="FFFFFF"/>
          <w:vertAlign w:val="baseline"/>
          <w:lang w:val="en-US" w:eastAsia="zh-CN"/>
        </w:rPr>
        <w:t>中标</w:t>
      </w:r>
      <w:r>
        <w:rPr>
          <w:b/>
          <w:bCs/>
          <w:i w:val="0"/>
          <w:iCs w:val="0"/>
          <w:caps w:val="0"/>
          <w:color w:val="383940"/>
          <w:spacing w:val="0"/>
          <w:sz w:val="40"/>
          <w:szCs w:val="40"/>
          <w:bdr w:val="none" w:color="auto" w:sz="0" w:space="0"/>
          <w:shd w:val="clear" w:fill="FFFFFF"/>
          <w:vertAlign w:val="baseline"/>
        </w:rPr>
        <w:t>公告</w:t>
      </w:r>
    </w:p>
    <w:p w14:paraId="0AE8B0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</w:p>
    <w:p w14:paraId="38B38A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一、项目编号：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ZMHT-XM202410260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（招标文件编号：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ZMHT-XM202410260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）</w:t>
      </w:r>
    </w:p>
    <w:p w14:paraId="0398ED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茶城建设工程公司OA系统建设项目</w:t>
      </w:r>
    </w:p>
    <w:p w14:paraId="7E2AED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三、中标（成交）信息</w:t>
      </w:r>
    </w:p>
    <w:p w14:paraId="44BDC4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四川中曼科技有限公司</w:t>
      </w:r>
    </w:p>
    <w:p w14:paraId="554B98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成都市青羊区光华东三路486号2栋16层1601号</w:t>
      </w:r>
    </w:p>
    <w:p w14:paraId="0FD2FF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包组或产品名称：协同办公平台软件开发服务</w:t>
      </w:r>
    </w:p>
    <w:p w14:paraId="09071C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中标金额：838600.00元</w:t>
      </w:r>
    </w:p>
    <w:p w14:paraId="4B6C47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四、主要标的信息</w:t>
      </w:r>
    </w:p>
    <w:tbl>
      <w:tblPr>
        <w:tblW w:w="10111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654"/>
        <w:gridCol w:w="1852"/>
        <w:gridCol w:w="1410"/>
        <w:gridCol w:w="1425"/>
        <w:gridCol w:w="1440"/>
        <w:gridCol w:w="1399"/>
      </w:tblGrid>
      <w:tr w14:paraId="77AED17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FF1454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20882D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852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FD406E6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服务名称</w:t>
            </w:r>
          </w:p>
        </w:tc>
        <w:tc>
          <w:tcPr>
            <w:tcW w:w="1410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BEACED1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服务范围</w:t>
            </w:r>
          </w:p>
        </w:tc>
        <w:tc>
          <w:tcPr>
            <w:tcW w:w="1425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6792F98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服务要求</w:t>
            </w:r>
          </w:p>
        </w:tc>
        <w:tc>
          <w:tcPr>
            <w:tcW w:w="1440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7800C396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服务时间</w:t>
            </w:r>
          </w:p>
        </w:tc>
        <w:tc>
          <w:tcPr>
            <w:tcW w:w="1399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17EF90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服务标准</w:t>
            </w:r>
          </w:p>
        </w:tc>
      </w:tr>
      <w:tr w14:paraId="779EAA4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C70541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FF700B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四川中曼科技有限公司</w:t>
            </w:r>
          </w:p>
        </w:tc>
        <w:tc>
          <w:tcPr>
            <w:tcW w:w="1852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0BF3BCAC">
            <w:pPr>
              <w:keepNext w:val="0"/>
              <w:keepLines w:val="0"/>
              <w:widowControl/>
              <w:suppressLineNumbers w:val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协同办公平台软件开发服务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6044D94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符合招标文件要求</w:t>
            </w:r>
          </w:p>
        </w:tc>
        <w:tc>
          <w:tcPr>
            <w:tcW w:w="1425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7ABD5313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符合招标文件要求</w:t>
            </w:r>
          </w:p>
        </w:tc>
        <w:tc>
          <w:tcPr>
            <w:tcW w:w="1440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8A55AB0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90日</w:t>
            </w:r>
          </w:p>
        </w:tc>
        <w:tc>
          <w:tcPr>
            <w:tcW w:w="1399" w:type="dxa"/>
            <w:tcBorders>
              <w:top w:val="outset" w:color="auto" w:sz="3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09BFE7A">
            <w:pPr>
              <w:keepNext w:val="0"/>
              <w:keepLines w:val="0"/>
              <w:widowControl/>
              <w:suppressLineNumbers w:val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符合招标文件要求</w:t>
            </w:r>
          </w:p>
        </w:tc>
      </w:tr>
    </w:tbl>
    <w:p w14:paraId="185C70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 w14:paraId="212D7A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刘涛、田雪、叶奎、邹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婷、刘婷婷</w:t>
      </w:r>
    </w:p>
    <w:p w14:paraId="24C799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六、代理服务收费标准及金额：</w:t>
      </w:r>
    </w:p>
    <w:p w14:paraId="1D5E6A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114" w:firstLine="56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本项目代理费收费标准：</w:t>
      </w:r>
    </w:p>
    <w:p w14:paraId="12DF2FFC">
      <w:pPr>
        <w:pStyle w:val="2"/>
        <w:spacing w:after="0" w:line="360" w:lineRule="auto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1．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根据相关规定，本招标文件特别约定，根据《国家发展改革委关于进一步放开建设项目专业服务价格的通知》（发改价格 [2015] 299号）要求，参照国家计委关于印发《招标代理服务收费管理暂行办法》的通知（计价格 [2002] 1980号）规定，本项目招标代理服务费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下浮45%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本项目采购代理服务费为人民币：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5661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元，由成交供应商在领取成交通知书前向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四川中采宏泰工程项目管理有限公司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交纳。</w:t>
      </w:r>
    </w:p>
    <w:p w14:paraId="2692D402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113" w:rightChars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2．采购代理服务费可使用银行转账、电汇或采购代理机构认可的方式支付。</w:t>
      </w:r>
    </w:p>
    <w:p w14:paraId="0678A5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七、公告期限</w:t>
      </w:r>
    </w:p>
    <w:p w14:paraId="3A5E88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43DF0B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八、其它补充事宜</w:t>
      </w:r>
    </w:p>
    <w:p w14:paraId="11D024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42" w:afterAutospacing="0" w:line="240" w:lineRule="atLeast"/>
        <w:ind w:right="11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2523D1F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 购 人：雅安市名山区茶城建设工程有限公司</w:t>
      </w:r>
    </w:p>
    <w:p w14:paraId="6A3B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址：雅安市名山区蒙阳街道吴理真路22号</w:t>
      </w:r>
    </w:p>
    <w:p w14:paraId="0BC26C6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    编：6251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</w:p>
    <w:p w14:paraId="3CC5C6E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 系 人：李先生                        </w:t>
      </w:r>
    </w:p>
    <w:p w14:paraId="0A6C155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联系电话：0835-3227801</w:t>
      </w:r>
    </w:p>
    <w:p w14:paraId="6F7C3FE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ACD7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招标代理机构：四川中采宏泰工程项目管理有限公司</w:t>
      </w:r>
    </w:p>
    <w:p w14:paraId="5DD4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址：雅安市雨城区雅州大道216号附38号2楼</w:t>
      </w:r>
    </w:p>
    <w:p w14:paraId="40DDBD2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    编：625000</w:t>
      </w:r>
    </w:p>
    <w:p w14:paraId="1651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</w:p>
    <w:p w14:paraId="15AE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罗先生、唐女士</w:t>
      </w:r>
    </w:p>
    <w:p w14:paraId="56E7327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0835-2887268</w:t>
      </w:r>
    </w:p>
    <w:p w14:paraId="7E8799D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项目负责人联系方式：罗先生、13438996151</w:t>
      </w:r>
    </w:p>
    <w:p w14:paraId="447F0D1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jc0YzJiNjQxZjBmYjczY2VlY2EzM2ZiYmI1YjcifQ=="/>
  </w:docVars>
  <w:rsids>
    <w:rsidRoot w:val="0B98573C"/>
    <w:rsid w:val="00237419"/>
    <w:rsid w:val="0B98573C"/>
    <w:rsid w:val="1EAF02C7"/>
    <w:rsid w:val="22A379E2"/>
    <w:rsid w:val="480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4">
    <w:name w:val="彩色网格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2024-10-31T07:55:00Z</dcterms:created>
  <dc:creator>小罗</dc:creator>
  <cp:lastModifiedBy>小罗</cp:lastModifiedBy>
  <dcterms:modified xsi:type="dcterms:W3CDTF">2024-10-31T08:09:51Z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F495C0C6719E42A4A4CB6C89C13EC845_13</vt:lpwstr>
  </property>
</Properties>
</file>