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雅安市名山区马岭现代农业产业园建设项目一期总坪工程电线、电缆采购项目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项目名称：雅安市名山区马岭现代农业产业园建设项目一期总坪工程电线、电缆采购项目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建设地点：名山区马岭镇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水电材料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总坪工程电线、电缆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询价截至时间：2025-10-17 10:00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50612999">
      <w:pPr>
        <w:spacing w:line="480" w:lineRule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5220983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雅安三顺商贸有限公司</w:t>
      </w:r>
    </w:p>
    <w:p w14:paraId="3AEEDEAD">
      <w:pPr>
        <w:rPr>
          <w:rFonts w:hint="eastAsia"/>
        </w:rPr>
      </w:pPr>
      <w:r>
        <w:rPr>
          <w:rFonts w:hint="eastAsia"/>
        </w:rPr>
        <w:t>报价明细：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成都鑫佰亿线缆有限公司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3212.64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708763.32</w:t>
            </w:r>
          </w:p>
        </w:tc>
      </w:tr>
      <w:tr w14:paraId="714B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D18E40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雅安三顺商贸有限公司</w:t>
            </w:r>
          </w:p>
        </w:tc>
        <w:tc>
          <w:tcPr>
            <w:tcW w:w="2074" w:type="dxa"/>
          </w:tcPr>
          <w:p w14:paraId="78FB7F6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4C15EF7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3216.88</w:t>
            </w:r>
          </w:p>
        </w:tc>
        <w:tc>
          <w:tcPr>
            <w:tcW w:w="2074" w:type="dxa"/>
          </w:tcPr>
          <w:p w14:paraId="7A06F22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701180.32</w:t>
            </w:r>
          </w:p>
        </w:tc>
      </w:tr>
      <w:tr w14:paraId="06B2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74" w:type="dxa"/>
          </w:tcPr>
          <w:p w14:paraId="1498072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昆明电缆集团昆电工电缆有限公司</w:t>
            </w:r>
          </w:p>
        </w:tc>
        <w:tc>
          <w:tcPr>
            <w:tcW w:w="2074" w:type="dxa"/>
          </w:tcPr>
          <w:p w14:paraId="400DEEC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61F2FF7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6368.22</w:t>
            </w:r>
          </w:p>
        </w:tc>
        <w:tc>
          <w:tcPr>
            <w:tcW w:w="2074" w:type="dxa"/>
          </w:tcPr>
          <w:p w14:paraId="5930198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733947.16</w:t>
            </w:r>
          </w:p>
        </w:tc>
      </w:tr>
    </w:tbl>
    <w:p w14:paraId="6C52E4CD">
      <w:pPr>
        <w:tabs>
          <w:tab w:val="left" w:pos="756"/>
        </w:tabs>
        <w:bidi w:val="0"/>
        <w:jc w:val="left"/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4711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407</Characters>
  <Lines>25</Lines>
  <Paragraphs>34</Paragraphs>
  <TotalTime>36</TotalTime>
  <ScaleCrop>false</ScaleCrop>
  <LinksUpToDate>false</LinksUpToDate>
  <CharactersWithSpaces>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2025-10-17T08:09:19Z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eyJoZGlkIjoiMzkxMWNiOTc2ODE5NjNiOGJlMmU1ZjAxNWM2MGE3Y2IiLCJ1c2VySWQiOiIxMDQ4NjI0NzA5In0=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9B70FC35A03C4668A9FCA9C6AA679EF2_12</vt:lpwstr>
  </property>
</Properties>
</file>