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雅安市名山区城市综合停车场项目弱电工程专业分包采购项目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项目名称：雅安市名山区城市综合停车场项目弱电工程专业分包采购项目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弱电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弱电工程专业分包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投标截至时间：2026-07-10 15:30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开标时间：2026-07-10 15:30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开标地点：雅安市雨城区桃花巷124号建筑业协会4楼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2026-07-13 10:27</w:t>
      </w:r>
    </w:p>
    <w:p w14:paraId="2D03EFF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公告公示时间：3个工作日（  2026-07-13  至  2026-07-1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四川中移通信技术工程有限公司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以最高限价下浮  4   %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</w:rPr>
              <w:t>
即为以建设单位聘请的第三方审计审定结果所含弱电工程价格下浮15%后再行下浮   4 %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95.69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四川省智网众联科技有限公司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以最高限价下浮  5   %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</w:rPr>
              <w:t>
即为以建设单位聘请的第三方审计审定结果所含弱电工程价格下浮15%后再行下浮  5 %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93.00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中国电信股份有限公司雅安分公司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以最高限价下浮  0.5   %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</w:rPr>
              <w:t>
即为以建设单位聘请的第三方审计审定结果所含弱电工程价格下浮15%后再行下浮 0.5 %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84.64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四川中移通信技术工程有限公司</w:t>
      </w:r>
    </w:p>
    <w:p w14:paraId="0FEA4276">
      <w:pPr>
        <w:jc w:val="both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17D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593</Characters>
  <Lines>29</Lines>
  <Paragraphs>41</Paragraphs>
  <TotalTime>42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秋季</cp:lastModifiedBy>
  <dcterms:modified xsi:type="dcterms:W3CDTF">2026-07-13T02:58:04Z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eyJoZGlkIjoiYWRkYzNhYzg5Mjg4NzJjNWUxNDQ4ZDQ4NzYyMWQ0NjkiLCJ1c2VySWQiOiIxMDQ4NjI0NzA5In0=</vt:lpwstr>
  </property>
  <property fmtid="{D5CDD505-2E9C-101B-9397-08002B2CF9AE}" pid="3" name="KSOProductBuildVer">
    <vt:lpwstr>2052-12.1.0.26895</vt:lpwstr>
  </property>
  <property fmtid="{D5CDD505-2E9C-101B-9397-08002B2CF9AE}" pid="4" name="ICV">
    <vt:lpwstr>EE83E66CC1C74DF2A989B1B2C051B6D5_12</vt:lpwstr>
  </property>
</Properties>
</file>